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82" w:rsidRPr="00AC3D48" w:rsidRDefault="00F70B82" w:rsidP="00F70B82">
      <w:pPr>
        <w:pStyle w:val="Heading4"/>
        <w:rPr>
          <w:kern w:val="36"/>
          <w:sz w:val="48"/>
          <w:szCs w:val="48"/>
          <w:lang w:val="en" w:eastAsia="en-GB"/>
        </w:rPr>
      </w:pPr>
      <w:bookmarkStart w:id="0" w:name="_GoBack"/>
      <w:bookmarkEnd w:id="0"/>
      <w:r w:rsidRPr="00AC3D48">
        <w:rPr>
          <w:kern w:val="36"/>
          <w:sz w:val="48"/>
          <w:szCs w:val="48"/>
          <w:lang w:val="en" w:eastAsia="en-GB"/>
        </w:rPr>
        <w:t>GOODS VEHICLE OPERATOR’S LICENCE</w:t>
      </w:r>
    </w:p>
    <w:p w:rsidR="002A3A59" w:rsidRPr="00AC3D48" w:rsidRDefault="002A3A59">
      <w:pPr>
        <w:rPr>
          <w:sz w:val="20"/>
          <w:szCs w:val="20"/>
          <w:lang w:val="en"/>
        </w:rPr>
      </w:pPr>
    </w:p>
    <w:p w:rsidR="002A3A59" w:rsidRPr="00AC3D48" w:rsidRDefault="002A3A59">
      <w:pPr>
        <w:pStyle w:val="Heading4"/>
      </w:pPr>
      <w:r w:rsidRPr="00AC3D48">
        <w:t>THIS LICENCE MUST NOT BE ALTERED OR DEFACED IN ANY WAY</w:t>
      </w:r>
    </w:p>
    <w:p w:rsidR="002A3A59" w:rsidRPr="00AC3D48" w:rsidRDefault="002A3A59">
      <w:pPr>
        <w:jc w:val="center"/>
        <w:rPr>
          <w:sz w:val="20"/>
          <w:szCs w:val="20"/>
        </w:rPr>
      </w:pPr>
    </w:p>
    <w:p w:rsidR="002A3A59" w:rsidRPr="00AC3D48" w:rsidRDefault="002A3A59">
      <w:pPr>
        <w:tabs>
          <w:tab w:val="left" w:pos="720"/>
          <w:tab w:val="left" w:pos="1440"/>
          <w:tab w:val="left" w:pos="2160"/>
          <w:tab w:val="left" w:pos="2880"/>
          <w:tab w:val="left" w:pos="3600"/>
          <w:tab w:val="left" w:pos="5025"/>
          <w:tab w:val="left" w:pos="5145"/>
        </w:tabs>
      </w:pPr>
      <w:r w:rsidRPr="00AC3D48">
        <w:t>Issued to:</w:t>
      </w:r>
      <w:r w:rsidRPr="00AC3D48">
        <w:tab/>
      </w:r>
      <w:r w:rsidRPr="00AC3D48">
        <w:tab/>
      </w:r>
      <w:r w:rsidRPr="00AC3D48">
        <w:tab/>
      </w:r>
      <w:r w:rsidRPr="00AC3D48">
        <w:tab/>
      </w:r>
      <w:r w:rsidRPr="00AC3D48">
        <w:tab/>
      </w:r>
      <w:r w:rsidR="005C45D0" w:rsidRPr="00AC3D48">
        <w:tab/>
        <w:t xml:space="preserve">     </w:t>
      </w:r>
      <w:r w:rsidR="00262B03" w:rsidRPr="00AC3D48">
        <w:t xml:space="preserve"> </w:t>
      </w:r>
      <w:r w:rsidRPr="00AC3D48">
        <w:t>Issued by:</w:t>
      </w:r>
      <w:r w:rsidRPr="00AC3D48">
        <w:tab/>
      </w:r>
    </w:p>
    <w:p w:rsidR="002A3A59" w:rsidRPr="00AC3D48" w:rsidRDefault="002A3A59">
      <w:pPr>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8"/>
        <w:gridCol w:w="243"/>
        <w:gridCol w:w="4353"/>
      </w:tblGrid>
      <w:tr w:rsidR="006F182D" w:rsidRPr="00AC3D48" w:rsidTr="00AC401C">
        <w:trPr>
          <w:trHeight w:val="2158"/>
        </w:trPr>
        <w:tc>
          <w:tcPr>
            <w:tcW w:w="4802" w:type="dxa"/>
          </w:tcPr>
          <w:p w:rsidR="006F182D" w:rsidRPr="003C5DFE" w:rsidRDefault="006F182D" w:rsidP="00262B03">
            <w:pPr>
              <w:pStyle w:val="Heading2"/>
              <w:outlineLvl w:val="1"/>
              <w:rPr>
                <w:b w:val="0"/>
                <w:sz w:val="22"/>
                <w:szCs w:val="22"/>
              </w:rPr>
            </w:pPr>
            <w:r w:rsidRPr="003C5DFE">
              <w:rPr>
                <w:b w:val="0"/>
                <w:sz w:val="22"/>
                <w:szCs w:val="22"/>
              </w:rPr>
              <w:t>COURTLA</w:t>
            </w:r>
            <w:r w:rsidR="003C5DFE" w:rsidRPr="003C5DFE">
              <w:rPr>
                <w:b w:val="0"/>
                <w:sz w:val="22"/>
                <w:szCs w:val="22"/>
              </w:rPr>
              <w:t>NDS WASTE MANAGEMENT (UK) LT</w:t>
            </w:r>
            <w:r w:rsidRPr="003C5DFE">
              <w:rPr>
                <w:b w:val="0"/>
                <w:sz w:val="22"/>
                <w:szCs w:val="22"/>
              </w:rPr>
              <w:t>D</w:t>
            </w:r>
          </w:p>
          <w:p w:rsidR="006F182D" w:rsidRPr="003C5DFE" w:rsidRDefault="003C5DFE" w:rsidP="00262B03">
            <w:pPr>
              <w:pStyle w:val="Heading2"/>
              <w:outlineLvl w:val="1"/>
              <w:rPr>
                <w:b w:val="0"/>
                <w:sz w:val="22"/>
                <w:szCs w:val="22"/>
              </w:rPr>
            </w:pPr>
            <w:r w:rsidRPr="003C5DFE">
              <w:rPr>
                <w:b w:val="0"/>
                <w:sz w:val="22"/>
                <w:szCs w:val="22"/>
              </w:rPr>
              <w:t>THE RAILWAY YARD</w:t>
            </w:r>
          </w:p>
          <w:p w:rsidR="003C5DFE" w:rsidRPr="003C5DFE" w:rsidRDefault="003C5DFE" w:rsidP="003C5DFE">
            <w:pPr>
              <w:rPr>
                <w:sz w:val="22"/>
                <w:szCs w:val="22"/>
              </w:rPr>
            </w:pPr>
            <w:r w:rsidRPr="003C5DFE">
              <w:rPr>
                <w:sz w:val="22"/>
                <w:szCs w:val="22"/>
              </w:rPr>
              <w:t>NORTH PLACE</w:t>
            </w:r>
          </w:p>
          <w:p w:rsidR="003C5DFE" w:rsidRPr="003C5DFE" w:rsidRDefault="003C5DFE" w:rsidP="003C5DFE">
            <w:pPr>
              <w:rPr>
                <w:sz w:val="22"/>
                <w:szCs w:val="22"/>
              </w:rPr>
            </w:pPr>
            <w:r w:rsidRPr="003C5DFE">
              <w:rPr>
                <w:sz w:val="22"/>
                <w:szCs w:val="22"/>
              </w:rPr>
              <w:t>OFF EDINBURGH WAY</w:t>
            </w:r>
          </w:p>
          <w:p w:rsidR="003C5DFE" w:rsidRPr="003C5DFE" w:rsidRDefault="003C5DFE" w:rsidP="003C5DFE">
            <w:pPr>
              <w:rPr>
                <w:sz w:val="22"/>
                <w:szCs w:val="22"/>
              </w:rPr>
            </w:pPr>
            <w:r w:rsidRPr="003C5DFE">
              <w:rPr>
                <w:sz w:val="22"/>
                <w:szCs w:val="22"/>
              </w:rPr>
              <w:t>HARLOW</w:t>
            </w:r>
          </w:p>
          <w:p w:rsidR="003C5DFE" w:rsidRPr="003C5DFE" w:rsidRDefault="003C5DFE" w:rsidP="003C5DFE">
            <w:r w:rsidRPr="003C5DFE">
              <w:rPr>
                <w:sz w:val="22"/>
                <w:szCs w:val="22"/>
              </w:rPr>
              <w:t>CM20 2SL</w:t>
            </w:r>
          </w:p>
        </w:tc>
        <w:tc>
          <w:tcPr>
            <w:tcW w:w="113" w:type="dxa"/>
          </w:tcPr>
          <w:p w:rsidR="006F182D" w:rsidRPr="00AC3D48" w:rsidRDefault="006F182D" w:rsidP="00454579"/>
        </w:tc>
        <w:tc>
          <w:tcPr>
            <w:tcW w:w="3976" w:type="dxa"/>
          </w:tcPr>
          <w:p w:rsidR="006F182D" w:rsidRPr="00AC3D48" w:rsidRDefault="00141535" w:rsidP="00454579">
            <w:r w:rsidRPr="00AC3D48">
              <w:t>Office of the Traffic Commissioner</w:t>
            </w:r>
          </w:p>
          <w:p w:rsidR="006F182D" w:rsidRPr="00AC3D48" w:rsidRDefault="006F182D" w:rsidP="00454579">
            <w:r w:rsidRPr="00AC3D48">
              <w:t>East of England</w:t>
            </w:r>
          </w:p>
          <w:p w:rsidR="006F182D" w:rsidRPr="00AC3D48" w:rsidRDefault="006F182D" w:rsidP="00454579">
            <w:r w:rsidRPr="00AC3D48">
              <w:t>Eastbrook</w:t>
            </w:r>
          </w:p>
          <w:p w:rsidR="006F182D" w:rsidRPr="00AC3D48" w:rsidRDefault="006F182D" w:rsidP="00454579">
            <w:r w:rsidRPr="00AC3D48">
              <w:t>Shaftesbury Road</w:t>
            </w:r>
          </w:p>
          <w:p w:rsidR="006F182D" w:rsidRPr="00AC3D48" w:rsidRDefault="006F182D" w:rsidP="00454579">
            <w:r w:rsidRPr="00AC3D48">
              <w:t>Cambridge</w:t>
            </w:r>
          </w:p>
          <w:p w:rsidR="006F182D" w:rsidRPr="00AC3D48" w:rsidRDefault="006F182D" w:rsidP="00454579">
            <w:r w:rsidRPr="00AC3D48">
              <w:t>CB2 8BF</w:t>
            </w:r>
          </w:p>
          <w:p w:rsidR="006F182D" w:rsidRPr="00AC3D48" w:rsidRDefault="006F182D" w:rsidP="00454579">
            <w:r w:rsidRPr="00AC3D48">
              <w:t>0300 123 9000</w:t>
            </w:r>
          </w:p>
        </w:tc>
      </w:tr>
    </w:tbl>
    <w:p w:rsidR="006F182D" w:rsidRPr="00AC3D48" w:rsidRDefault="006F182D">
      <w:pPr>
        <w:tabs>
          <w:tab w:val="left" w:pos="5190"/>
        </w:tabs>
        <w:rPr>
          <w:sz w:val="20"/>
          <w:szCs w:val="20"/>
        </w:rPr>
      </w:pPr>
    </w:p>
    <w:p w:rsidR="00262B03" w:rsidRPr="00AC3D48" w:rsidRDefault="00262B03" w:rsidP="00262B03"/>
    <w:p w:rsidR="00262B03" w:rsidRPr="00AC3D48" w:rsidRDefault="00A85440" w:rsidP="00A85440">
      <w:pPr>
        <w:ind w:left="5490" w:hanging="5490"/>
        <w:jc w:val="left"/>
      </w:pPr>
      <w:r w:rsidRPr="00AC3D48">
        <w:t>Goods Vehicle Standard National</w:t>
      </w:r>
      <w:r w:rsidRPr="00AC3D48">
        <w:tab/>
      </w:r>
      <w:r w:rsidR="00262B03" w:rsidRPr="00AC3D48">
        <w:t>Licence</w:t>
      </w:r>
      <w:r w:rsidRPr="00AC3D48">
        <w:t xml:space="preserve"> </w:t>
      </w:r>
      <w:r w:rsidR="00262B03" w:rsidRPr="00AC3D48">
        <w:t>number: OF1091667</w:t>
      </w:r>
    </w:p>
    <w:p w:rsidR="00262B03" w:rsidRPr="00AC3D48" w:rsidRDefault="00262B03" w:rsidP="00262B03">
      <w:pPr>
        <w:pStyle w:val="Heading2"/>
        <w:ind w:left="5040"/>
      </w:pPr>
      <w:r w:rsidRPr="00AC3D48">
        <w:t xml:space="preserve">       NOT TRANSFERABLE</w:t>
      </w:r>
    </w:p>
    <w:p w:rsidR="007A65A1" w:rsidRPr="00AC3D48" w:rsidRDefault="007A65A1" w:rsidP="007A65A1">
      <w:pPr>
        <w:rPr>
          <w:sz w:val="20"/>
          <w:szCs w:val="20"/>
        </w:rPr>
      </w:pPr>
    </w:p>
    <w:p w:rsidR="00262B03" w:rsidRPr="00AC3D48" w:rsidRDefault="00262B03" w:rsidP="007A65A1">
      <w:pPr>
        <w:rPr>
          <w:sz w:val="20"/>
          <w:szCs w:val="20"/>
        </w:rPr>
      </w:pPr>
    </w:p>
    <w:p w:rsidR="007A65A1" w:rsidRDefault="007A65A1" w:rsidP="003C5DFE">
      <w:pPr>
        <w:tabs>
          <w:tab w:val="left" w:pos="5529"/>
        </w:tabs>
      </w:pPr>
      <w:r w:rsidRPr="00AC3D48">
        <w:t>This licence is in force from:</w:t>
      </w:r>
      <w:r w:rsidR="0076194B" w:rsidRPr="00AC3D48">
        <w:t xml:space="preserve">   </w:t>
      </w:r>
      <w:r w:rsidR="0076194B" w:rsidRPr="00AC3D48">
        <w:tab/>
      </w:r>
      <w:r w:rsidRPr="00AC3D48">
        <w:t>14/01/2010</w:t>
      </w:r>
    </w:p>
    <w:p w:rsidR="003C5DFE" w:rsidRDefault="003C5DFE" w:rsidP="003C5DFE">
      <w:pPr>
        <w:tabs>
          <w:tab w:val="left" w:pos="5529"/>
        </w:tabs>
      </w:pPr>
    </w:p>
    <w:p w:rsidR="003C5DFE" w:rsidRPr="00AC3D48" w:rsidRDefault="003C5DFE" w:rsidP="003C5DFE">
      <w:pPr>
        <w:tabs>
          <w:tab w:val="left" w:pos="5529"/>
        </w:tabs>
      </w:pPr>
      <w:r>
        <w:t>Expiry Date:</w:t>
      </w:r>
      <w:r>
        <w:tab/>
        <w:t>14/01/2020</w:t>
      </w:r>
    </w:p>
    <w:p w:rsidR="007A65A1" w:rsidRPr="00AC3D48" w:rsidRDefault="007A65A1" w:rsidP="007A65A1"/>
    <w:p w:rsidR="002C33AF" w:rsidRPr="00AC3D48" w:rsidRDefault="00F62D86">
      <w:pPr>
        <w:rPr>
          <w:sz w:val="22"/>
          <w:szCs w:val="22"/>
        </w:rPr>
      </w:pPr>
      <w:r w:rsidRPr="00AC3D48">
        <w:rPr>
          <w:sz w:val="22"/>
          <w:szCs w:val="22"/>
        </w:rPr>
        <w:t>This licence will continue for as long as you continue to meet its terms. However, it will come to an end if you do not pay the necessary continuation fee by the date required. The licence may also face regulatory action including revocation if you operate outside its terms. You have paid for an initial period of five years, which starts with the date the licence was issued. The continuation fee must be paid before the end of the month before that five year period comes to an end and every five years after that. Please see note 1 for further details.</w:t>
      </w:r>
    </w:p>
    <w:p w:rsidR="00F62D86" w:rsidRPr="00AC3D48" w:rsidRDefault="00F62D86">
      <w:pPr>
        <w:rPr>
          <w:sz w:val="20"/>
          <w:szCs w:val="20"/>
        </w:rPr>
      </w:pPr>
    </w:p>
    <w:p w:rsidR="002A3A59" w:rsidRPr="00AC3D48" w:rsidRDefault="002A3A59">
      <w:pPr>
        <w:rPr>
          <w:sz w:val="22"/>
          <w:szCs w:val="22"/>
        </w:rPr>
      </w:pPr>
      <w:r w:rsidRPr="00AC3D48">
        <w:rPr>
          <w:sz w:val="22"/>
          <w:szCs w:val="22"/>
        </w:rPr>
        <w:t>This document is an operator’s licence issued under the Goods Vehicles (Licensing of Operators) Act 1995 (the Act).The undertakings recorded in this licence have been given by the licence holder and are considered to be material to the grant of the licence. In the case of a licence first issued before 1 January 1996, the recorded undertakings include statements of intent made by the operator.</w:t>
      </w:r>
    </w:p>
    <w:p w:rsidR="002A3A59" w:rsidRPr="00AC3D48" w:rsidRDefault="002A3A59">
      <w:pPr>
        <w:pStyle w:val="BodyText"/>
        <w:rPr>
          <w:sz w:val="20"/>
          <w:szCs w:val="20"/>
        </w:rPr>
      </w:pPr>
    </w:p>
    <w:p w:rsidR="002A3A59" w:rsidRPr="00AC3D48" w:rsidRDefault="002A3A59">
      <w:pPr>
        <w:pStyle w:val="BodyText"/>
        <w:rPr>
          <w:sz w:val="22"/>
          <w:szCs w:val="22"/>
        </w:rPr>
      </w:pPr>
      <w:r w:rsidRPr="00AC3D48">
        <w:rPr>
          <w:sz w:val="22"/>
          <w:szCs w:val="22"/>
        </w:rPr>
        <w:t>The maximum number of motor vehicles and trailers authorised in accordance with section 6 of the Act is:</w:t>
      </w:r>
    </w:p>
    <w:p w:rsidR="002A3A59" w:rsidRPr="00AC3D48" w:rsidRDefault="002A3A59">
      <w:pPr>
        <w:pStyle w:val="BodyText"/>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1922"/>
      </w:tblGrid>
      <w:tr w:rsidR="00B15EA2" w:rsidRPr="00AC3D48" w:rsidTr="00F70B82">
        <w:trPr>
          <w:trHeight w:val="541"/>
          <w:jc w:val="center"/>
        </w:trPr>
        <w:tc>
          <w:tcPr>
            <w:tcW w:w="3600" w:type="dxa"/>
            <w:vAlign w:val="center"/>
          </w:tcPr>
          <w:p w:rsidR="00B15EA2" w:rsidRPr="00AC3D48" w:rsidRDefault="00B15EA2" w:rsidP="00BB6E15">
            <w:pPr>
              <w:rPr>
                <w:b/>
                <w:sz w:val="22"/>
                <w:szCs w:val="22"/>
              </w:rPr>
            </w:pPr>
            <w:r w:rsidRPr="00AC3D48">
              <w:rPr>
                <w:b/>
                <w:sz w:val="22"/>
                <w:szCs w:val="22"/>
              </w:rPr>
              <w:t>Motor vehicles</w:t>
            </w:r>
          </w:p>
        </w:tc>
        <w:tc>
          <w:tcPr>
            <w:tcW w:w="1922" w:type="dxa"/>
            <w:vAlign w:val="center"/>
          </w:tcPr>
          <w:p w:rsidR="00B15EA2" w:rsidRPr="00AC3D48" w:rsidRDefault="00B15EA2" w:rsidP="00BB6E15">
            <w:pPr>
              <w:rPr>
                <w:b/>
              </w:rPr>
            </w:pPr>
            <w:r w:rsidRPr="00AC3D48">
              <w:rPr>
                <w:b/>
              </w:rPr>
              <w:t>10</w:t>
            </w:r>
          </w:p>
        </w:tc>
      </w:tr>
      <w:tr w:rsidR="00B15EA2" w:rsidRPr="00AC3D48" w:rsidTr="00F70B82">
        <w:trPr>
          <w:trHeight w:val="541"/>
          <w:jc w:val="center"/>
        </w:trPr>
        <w:tc>
          <w:tcPr>
            <w:tcW w:w="3600" w:type="dxa"/>
            <w:vAlign w:val="center"/>
          </w:tcPr>
          <w:p w:rsidR="00B15EA2" w:rsidRPr="00AC3D48" w:rsidRDefault="00B15EA2" w:rsidP="00BB6E15">
            <w:pPr>
              <w:rPr>
                <w:b/>
                <w:sz w:val="22"/>
                <w:szCs w:val="22"/>
              </w:rPr>
            </w:pPr>
            <w:r w:rsidRPr="00AC3D48">
              <w:rPr>
                <w:b/>
                <w:sz w:val="22"/>
                <w:szCs w:val="22"/>
              </w:rPr>
              <w:t>Trailers (inc semi-trailers)</w:t>
            </w:r>
          </w:p>
        </w:tc>
        <w:tc>
          <w:tcPr>
            <w:tcW w:w="1922" w:type="dxa"/>
            <w:vAlign w:val="center"/>
          </w:tcPr>
          <w:p w:rsidR="00B15EA2" w:rsidRPr="00AC3D48" w:rsidRDefault="00B15EA2" w:rsidP="00BB6E15">
            <w:pPr>
              <w:rPr>
                <w:b/>
              </w:rPr>
            </w:pPr>
            <w:r w:rsidRPr="00AC3D48">
              <w:rPr>
                <w:b/>
              </w:rPr>
              <w:t>2</w:t>
            </w:r>
          </w:p>
        </w:tc>
      </w:tr>
    </w:tbl>
    <w:p w:rsidR="00313E9D" w:rsidRDefault="00313E9D">
      <w:pPr>
        <w:rPr>
          <w:sz w:val="20"/>
          <w:szCs w:val="20"/>
        </w:rPr>
      </w:pPr>
    </w:p>
    <w:p w:rsidR="00313E9D" w:rsidRDefault="00313E9D">
      <w:pPr>
        <w:rPr>
          <w:sz w:val="20"/>
          <w:szCs w:val="20"/>
        </w:rPr>
      </w:pPr>
    </w:p>
    <w:p w:rsidR="00313E9D" w:rsidRPr="00AC3D48" w:rsidRDefault="00313E9D">
      <w:pPr>
        <w:rPr>
          <w:sz w:val="20"/>
          <w:szCs w:val="20"/>
        </w:rPr>
      </w:pPr>
    </w:p>
    <w:tbl>
      <w:tblPr>
        <w:tblW w:w="5000" w:type="pct"/>
        <w:tblLook w:val="0000" w:firstRow="0" w:lastRow="0" w:firstColumn="0" w:lastColumn="0" w:noHBand="0" w:noVBand="0"/>
      </w:tblPr>
      <w:tblGrid>
        <w:gridCol w:w="4927"/>
        <w:gridCol w:w="4927"/>
      </w:tblGrid>
      <w:tr w:rsidR="00F70B82" w:rsidRPr="00AC3D48" w:rsidTr="0012489C">
        <w:tblPrEx>
          <w:tblCellMar>
            <w:top w:w="0" w:type="dxa"/>
            <w:bottom w:w="0" w:type="dxa"/>
          </w:tblCellMar>
        </w:tblPrEx>
        <w:tc>
          <w:tcPr>
            <w:tcW w:w="2500" w:type="pct"/>
            <w:tcBorders>
              <w:top w:val="nil"/>
              <w:left w:val="nil"/>
              <w:bottom w:val="nil"/>
              <w:right w:val="nil"/>
            </w:tcBorders>
          </w:tcPr>
          <w:p w:rsidR="00F70B82" w:rsidRPr="00AC3D48" w:rsidRDefault="001A6A0B" w:rsidP="00AC3D48">
            <w:pPr>
              <w:rPr>
                <w:b/>
                <w:bCs/>
                <w:sz w:val="32"/>
                <w:szCs w:val="32"/>
              </w:rPr>
            </w:pPr>
            <w:r w:rsidRPr="00AC3D48">
              <w:rPr>
                <w:b/>
                <w:bCs/>
                <w:noProof/>
                <w:sz w:val="32"/>
                <w:szCs w:val="32"/>
              </w:rPr>
              <w:drawing>
                <wp:inline distT="0" distB="0" distL="0" distR="0">
                  <wp:extent cx="1319530" cy="1099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099820"/>
                          </a:xfrm>
                          <a:prstGeom prst="rect">
                            <a:avLst/>
                          </a:prstGeom>
                          <a:noFill/>
                          <a:ln>
                            <a:noFill/>
                          </a:ln>
                        </pic:spPr>
                      </pic:pic>
                    </a:graphicData>
                  </a:graphic>
                </wp:inline>
              </w:drawing>
            </w:r>
          </w:p>
        </w:tc>
        <w:tc>
          <w:tcPr>
            <w:tcW w:w="2500" w:type="pct"/>
            <w:tcBorders>
              <w:top w:val="nil"/>
              <w:left w:val="nil"/>
              <w:bottom w:val="nil"/>
              <w:right w:val="nil"/>
            </w:tcBorders>
          </w:tcPr>
          <w:p w:rsidR="0076194B" w:rsidRPr="00AC3D48" w:rsidRDefault="0076194B" w:rsidP="0076194B">
            <w:pPr>
              <w:rPr>
                <w:b/>
                <w:bCs/>
              </w:rPr>
            </w:pPr>
          </w:p>
          <w:p w:rsidR="00313E9D" w:rsidRDefault="00313E9D" w:rsidP="0076194B">
            <w:pPr>
              <w:pStyle w:val="Heading2"/>
            </w:pPr>
          </w:p>
          <w:p w:rsidR="00313E9D" w:rsidRDefault="00313E9D" w:rsidP="0076194B">
            <w:pPr>
              <w:pStyle w:val="Heading2"/>
            </w:pPr>
          </w:p>
          <w:p w:rsidR="00313E9D" w:rsidRDefault="001A6A0B" w:rsidP="0076194B">
            <w:pPr>
              <w:pStyle w:val="Heading2"/>
            </w:pPr>
            <w:r>
              <w:rPr>
                <w:noProof/>
              </w:rPr>
              <w:drawing>
                <wp:inline distT="0" distB="0" distL="0" distR="0">
                  <wp:extent cx="2395855" cy="5321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532130"/>
                          </a:xfrm>
                          <a:prstGeom prst="rect">
                            <a:avLst/>
                          </a:prstGeom>
                          <a:noFill/>
                          <a:ln>
                            <a:noFill/>
                          </a:ln>
                        </pic:spPr>
                      </pic:pic>
                    </a:graphicData>
                  </a:graphic>
                </wp:inline>
              </w:drawing>
            </w:r>
          </w:p>
          <w:p w:rsidR="00313E9D" w:rsidRDefault="00313E9D" w:rsidP="0076194B">
            <w:pPr>
              <w:pStyle w:val="Heading2"/>
            </w:pPr>
          </w:p>
          <w:p w:rsidR="0076194B" w:rsidRPr="00AC3D48" w:rsidRDefault="0076194B" w:rsidP="0076194B">
            <w:pPr>
              <w:pStyle w:val="Heading2"/>
              <w:rPr>
                <w:sz w:val="22"/>
                <w:szCs w:val="22"/>
              </w:rPr>
            </w:pPr>
            <w:r w:rsidRPr="00AC3D48">
              <w:t>Traffic Commissioner</w:t>
            </w:r>
          </w:p>
        </w:tc>
      </w:tr>
    </w:tbl>
    <w:p w:rsidR="002A3A59" w:rsidRDefault="002A3A59" w:rsidP="00301EBF">
      <w:pPr>
        <w:pStyle w:val="Heading3"/>
        <w:jc w:val="left"/>
      </w:pPr>
      <w:r w:rsidRPr="00AC3D48">
        <w:br w:type="page"/>
      </w:r>
      <w:r w:rsidR="00353588">
        <w:lastRenderedPageBreak/>
        <w:t>Operating c</w:t>
      </w:r>
      <w:r w:rsidRPr="00AC3D48">
        <w:t>entre</w:t>
      </w:r>
      <w:r w:rsidR="00353588">
        <w:t>(</w:t>
      </w:r>
      <w:r w:rsidRPr="00AC3D48">
        <w:t>s</w:t>
      </w:r>
      <w:r w:rsidR="00353588">
        <w:t>)</w:t>
      </w:r>
    </w:p>
    <w:p w:rsidR="00353588" w:rsidRPr="00353588" w:rsidRDefault="00353588" w:rsidP="00353588"/>
    <w:p w:rsidR="002A3A59" w:rsidRPr="00AC3D48" w:rsidRDefault="002A3A59" w:rsidP="00301EBF">
      <w:pPr>
        <w:jc w:val="left"/>
      </w:pPr>
    </w:p>
    <w:p w:rsidR="002A3A59" w:rsidRPr="00AC3D48" w:rsidRDefault="002A3A59" w:rsidP="00301EB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3283"/>
        <w:gridCol w:w="1397"/>
        <w:gridCol w:w="720"/>
      </w:tblGrid>
      <w:tr w:rsidR="00F80067">
        <w:tblPrEx>
          <w:tblCellMar>
            <w:top w:w="0" w:type="dxa"/>
            <w:bottom w:w="0" w:type="dxa"/>
          </w:tblCellMar>
        </w:tblPrEx>
        <w:trPr>
          <w:cantSplit/>
          <w:trHeight w:val="500"/>
        </w:trPr>
        <w:tc>
          <w:tcPr>
            <w:tcW w:w="3108" w:type="dxa"/>
            <w:vMerge w:val="restart"/>
          </w:tcPr>
          <w:p w:rsidR="00F80067" w:rsidRDefault="00F80067">
            <w:pPr>
              <w:rPr>
                <w:b/>
              </w:rPr>
            </w:pPr>
            <w:r>
              <w:rPr>
                <w:b/>
              </w:rPr>
              <w:t>Operating Centre:</w:t>
            </w:r>
          </w:p>
        </w:tc>
        <w:tc>
          <w:tcPr>
            <w:tcW w:w="3283" w:type="dxa"/>
            <w:vMerge w:val="restart"/>
          </w:tcPr>
          <w:p w:rsidR="00F80067" w:rsidRDefault="00F80067">
            <w:pPr>
              <w:rPr>
                <w:b/>
              </w:rPr>
            </w:pPr>
            <w:r>
              <w:rPr>
                <w:b/>
              </w:rPr>
              <w:t>Address:</w:t>
            </w:r>
          </w:p>
          <w:p w:rsidR="00F80067" w:rsidRDefault="00F80067">
            <w:pPr>
              <w:rPr>
                <w:b/>
              </w:rPr>
            </w:pPr>
          </w:p>
          <w:p w:rsidR="00F80067" w:rsidRDefault="00F80067">
            <w:pPr>
              <w:rPr>
                <w:b/>
              </w:rPr>
            </w:pPr>
            <w:r>
              <w:rPr>
                <w:b/>
              </w:rPr>
              <w:t>THE RAILWAY SIDINGS</w:t>
            </w:r>
          </w:p>
          <w:p w:rsidR="00F80067" w:rsidRDefault="00F80067">
            <w:pPr>
              <w:rPr>
                <w:b/>
              </w:rPr>
            </w:pPr>
            <w:r>
              <w:rPr>
                <w:b/>
              </w:rPr>
              <w:t>NORTH PLACE, EDINBURGH WAY</w:t>
            </w:r>
          </w:p>
          <w:p w:rsidR="00F80067" w:rsidRDefault="00F80067">
            <w:pPr>
              <w:rPr>
                <w:b/>
              </w:rPr>
            </w:pPr>
            <w:r>
              <w:rPr>
                <w:b/>
              </w:rPr>
              <w:t>HARLOW</w:t>
            </w:r>
          </w:p>
          <w:p w:rsidR="00F80067" w:rsidRDefault="00F80067">
            <w:pPr>
              <w:rPr>
                <w:b/>
              </w:rPr>
            </w:pPr>
            <w:r>
              <w:rPr>
                <w:b/>
              </w:rPr>
              <w:t>CM20 2SL</w:t>
            </w:r>
          </w:p>
          <w:p w:rsidR="00F80067" w:rsidRDefault="00F80067">
            <w:pPr>
              <w:rPr>
                <w:b/>
              </w:rPr>
            </w:pPr>
          </w:p>
        </w:tc>
        <w:tc>
          <w:tcPr>
            <w:tcW w:w="1397" w:type="dxa"/>
          </w:tcPr>
          <w:p w:rsidR="00F80067" w:rsidRDefault="00F80067">
            <w:pPr>
              <w:rPr>
                <w:b/>
              </w:rPr>
            </w:pPr>
            <w:r>
              <w:rPr>
                <w:b/>
              </w:rPr>
              <w:t>Vehicles</w:t>
            </w:r>
          </w:p>
        </w:tc>
        <w:tc>
          <w:tcPr>
            <w:tcW w:w="720" w:type="dxa"/>
          </w:tcPr>
          <w:p w:rsidR="00F80067" w:rsidRDefault="00F80067">
            <w:pPr>
              <w:rPr>
                <w:b/>
              </w:rPr>
            </w:pPr>
            <w:r>
              <w:rPr>
                <w:b/>
              </w:rPr>
              <w:t>10</w:t>
            </w:r>
          </w:p>
        </w:tc>
      </w:tr>
      <w:tr w:rsidR="00F80067">
        <w:tblPrEx>
          <w:tblCellMar>
            <w:top w:w="0" w:type="dxa"/>
            <w:bottom w:w="0" w:type="dxa"/>
          </w:tblCellMar>
        </w:tblPrEx>
        <w:trPr>
          <w:cantSplit/>
          <w:trHeight w:val="142"/>
        </w:trPr>
        <w:tc>
          <w:tcPr>
            <w:tcW w:w="3108" w:type="dxa"/>
            <w:vMerge/>
          </w:tcPr>
          <w:p w:rsidR="00F80067" w:rsidRDefault="00F80067">
            <w:pPr>
              <w:rPr>
                <w:b/>
              </w:rPr>
            </w:pPr>
          </w:p>
        </w:tc>
        <w:tc>
          <w:tcPr>
            <w:tcW w:w="3283" w:type="dxa"/>
            <w:vMerge/>
          </w:tcPr>
          <w:p w:rsidR="00F80067" w:rsidRDefault="00F80067">
            <w:pPr>
              <w:rPr>
                <w:b/>
              </w:rPr>
            </w:pPr>
          </w:p>
        </w:tc>
        <w:tc>
          <w:tcPr>
            <w:tcW w:w="1397" w:type="dxa"/>
          </w:tcPr>
          <w:p w:rsidR="00F80067" w:rsidRDefault="00F80067">
            <w:pPr>
              <w:rPr>
                <w:b/>
              </w:rPr>
            </w:pPr>
            <w:r>
              <w:rPr>
                <w:b/>
              </w:rPr>
              <w:t>Trailers</w:t>
            </w:r>
          </w:p>
        </w:tc>
        <w:tc>
          <w:tcPr>
            <w:tcW w:w="720" w:type="dxa"/>
          </w:tcPr>
          <w:p w:rsidR="00F80067" w:rsidRDefault="00F80067">
            <w:pPr>
              <w:rPr>
                <w:b/>
              </w:rPr>
            </w:pPr>
            <w:r>
              <w:rPr>
                <w:b/>
              </w:rPr>
              <w:t>2</w:t>
            </w:r>
          </w:p>
        </w:tc>
      </w:tr>
      <w:tr w:rsidR="00F80067">
        <w:tblPrEx>
          <w:tblCellMar>
            <w:top w:w="0" w:type="dxa"/>
            <w:bottom w:w="0" w:type="dxa"/>
          </w:tblCellMar>
        </w:tblPrEx>
        <w:tc>
          <w:tcPr>
            <w:tcW w:w="3108" w:type="dxa"/>
          </w:tcPr>
          <w:p w:rsidR="00F80067" w:rsidRDefault="00F80067">
            <w:pPr>
              <w:rPr>
                <w:b/>
              </w:rPr>
            </w:pPr>
            <w:r>
              <w:rPr>
                <w:b/>
              </w:rPr>
              <w:t>Conditions or Undertakings</w:t>
            </w:r>
          </w:p>
        </w:tc>
        <w:tc>
          <w:tcPr>
            <w:tcW w:w="5400" w:type="dxa"/>
            <w:gridSpan w:val="3"/>
          </w:tcPr>
          <w:p w:rsidR="00F80067" w:rsidRDefault="00F80067">
            <w:pPr>
              <w:rPr>
                <w:b/>
              </w:rPr>
            </w:pPr>
          </w:p>
        </w:tc>
      </w:tr>
    </w:tbl>
    <w:p w:rsidR="00F80067" w:rsidRDefault="00F80067"/>
    <w:p w:rsidR="00F80067" w:rsidRDefault="00F80067"/>
    <w:p w:rsidR="00A734F3" w:rsidRDefault="00A734F3">
      <w:pPr>
        <w:rPr>
          <w:b/>
          <w:bCs/>
        </w:rPr>
      </w:pPr>
    </w:p>
    <w:p w:rsidR="00054BA3" w:rsidRDefault="00054BA3">
      <w:pPr>
        <w:rPr>
          <w:b/>
          <w:bCs/>
        </w:rPr>
      </w:pPr>
    </w:p>
    <w:p w:rsidR="00054BA3" w:rsidRDefault="00054BA3">
      <w:pPr>
        <w:rPr>
          <w:b/>
          <w:bCs/>
        </w:rPr>
      </w:pPr>
    </w:p>
    <w:p w:rsidR="00054BA3" w:rsidRDefault="00054BA3">
      <w:pPr>
        <w:rPr>
          <w:b/>
          <w:bCs/>
        </w:rPr>
      </w:pPr>
    </w:p>
    <w:p w:rsidR="00054BA3" w:rsidRPr="00AC3D48" w:rsidRDefault="00054BA3">
      <w:pPr>
        <w:rPr>
          <w:b/>
          <w:bCs/>
        </w:rPr>
      </w:pPr>
    </w:p>
    <w:p w:rsidR="002A3A59" w:rsidRPr="00AC3D48" w:rsidRDefault="002A3A59" w:rsidP="002A3A59">
      <w:pPr>
        <w:pStyle w:val="Heading3"/>
      </w:pPr>
      <w:r w:rsidRPr="00AC3D48">
        <w:t>Transport Manager(s)</w:t>
      </w:r>
    </w:p>
    <w:p w:rsidR="002A3A59" w:rsidRPr="00AC3D48" w:rsidRDefault="002A3A59" w:rsidP="002A3A59"/>
    <w:p w:rsidR="00F70B82" w:rsidRDefault="00F70B82">
      <w:pPr>
        <w:pStyle w:val="Heading2"/>
        <w:jc w:val="left"/>
      </w:pPr>
      <w:r>
        <w:t>NICHOLAS TERENCE BONE</w:t>
      </w:r>
    </w:p>
    <w:p w:rsidR="00054BA3" w:rsidRPr="00054BA3" w:rsidRDefault="00054BA3" w:rsidP="00054BA3"/>
    <w:p w:rsidR="002A3A59" w:rsidRPr="00AC3D48" w:rsidRDefault="00353588" w:rsidP="0076194B">
      <w:pPr>
        <w:pStyle w:val="Heading2"/>
        <w:jc w:val="left"/>
        <w:rPr>
          <w:b w:val="0"/>
          <w:bCs w:val="0"/>
          <w:sz w:val="32"/>
          <w:szCs w:val="32"/>
        </w:rPr>
      </w:pPr>
      <w:r>
        <w:rPr>
          <w:sz w:val="32"/>
          <w:szCs w:val="32"/>
        </w:rPr>
        <w:t>Specific conditions attached to l</w:t>
      </w:r>
      <w:r w:rsidR="002A3A59" w:rsidRPr="00AC3D48">
        <w:rPr>
          <w:sz w:val="32"/>
          <w:szCs w:val="32"/>
        </w:rPr>
        <w:t>icence</w:t>
      </w:r>
    </w:p>
    <w:p w:rsidR="00527D43" w:rsidRPr="00AC3D48" w:rsidRDefault="00527D43" w:rsidP="0076194B"/>
    <w:p w:rsidR="002A3A59" w:rsidRDefault="002A3A59"/>
    <w:p w:rsidR="00054BA3" w:rsidRPr="00AC3D48" w:rsidRDefault="00054BA3"/>
    <w:p w:rsidR="002A3A59" w:rsidRPr="00AC3D48" w:rsidRDefault="00F70B82">
      <w:pPr>
        <w:pStyle w:val="Heading3"/>
      </w:pPr>
      <w:r w:rsidRPr="00AC3D48">
        <w:t xml:space="preserve">Specific </w:t>
      </w:r>
      <w:r w:rsidR="00353588">
        <w:t>u</w:t>
      </w:r>
      <w:r w:rsidR="002A3A59" w:rsidRPr="00AC3D48">
        <w:t>ndertakings</w:t>
      </w:r>
      <w:r w:rsidR="00353588">
        <w:t xml:space="preserve"> attached to l</w:t>
      </w:r>
      <w:r w:rsidRPr="00AC3D48">
        <w:t>icence</w:t>
      </w:r>
    </w:p>
    <w:p w:rsidR="002A3A59" w:rsidRPr="00AC3D48" w:rsidRDefault="002A3A59"/>
    <w:p w:rsidR="0076194B" w:rsidRPr="00AC3D48" w:rsidRDefault="0076194B" w:rsidP="0076194B"/>
    <w:p w:rsidR="00577EA8" w:rsidRPr="00310B36" w:rsidRDefault="002A3A59" w:rsidP="00577EA8">
      <w:pPr>
        <w:pStyle w:val="Heading2"/>
        <w:rPr>
          <w:rFonts w:cs="Arial"/>
          <w:sz w:val="22"/>
          <w:szCs w:val="22"/>
        </w:rPr>
      </w:pPr>
      <w:r w:rsidRPr="00AC3D48">
        <w:br w:type="page"/>
      </w:r>
      <w:r w:rsidR="00577EA8" w:rsidRPr="00310B36">
        <w:rPr>
          <w:rFonts w:cs="Arial"/>
          <w:sz w:val="22"/>
          <w:szCs w:val="22"/>
        </w:rPr>
        <w:lastRenderedPageBreak/>
        <w:t xml:space="preserve">GENERAL CONDITIONS ATTACHED UNDER SECTION 22 OF THE </w:t>
      </w:r>
      <w:r w:rsidR="00577EA8">
        <w:rPr>
          <w:rFonts w:cs="Arial"/>
          <w:sz w:val="22"/>
          <w:szCs w:val="22"/>
        </w:rPr>
        <w:t xml:space="preserve">GOODS VEHICLES (LICENSING OF OPERATORS) </w:t>
      </w:r>
      <w:r w:rsidR="00577EA8" w:rsidRPr="00310B36">
        <w:rPr>
          <w:rFonts w:cs="Arial"/>
          <w:sz w:val="22"/>
          <w:szCs w:val="22"/>
        </w:rPr>
        <w:t>ACT</w:t>
      </w:r>
      <w:r w:rsidR="00577EA8">
        <w:rPr>
          <w:rFonts w:cs="Arial"/>
          <w:sz w:val="22"/>
          <w:szCs w:val="22"/>
        </w:rPr>
        <w:t xml:space="preserve"> 1995</w:t>
      </w:r>
      <w:r w:rsidR="00577EA8" w:rsidRPr="00310B36">
        <w:rPr>
          <w:rFonts w:cs="Arial"/>
          <w:sz w:val="22"/>
          <w:szCs w:val="22"/>
        </w:rPr>
        <w:t xml:space="preserve"> – STANDARD NATIONAL LICENCES</w:t>
      </w:r>
    </w:p>
    <w:p w:rsidR="009B258B" w:rsidRDefault="009B258B"/>
    <w:p w:rsidR="00577EA8" w:rsidRPr="00577EA8" w:rsidRDefault="00577EA8" w:rsidP="00577EA8">
      <w:pPr>
        <w:rPr>
          <w:rFonts w:cs="Arial"/>
        </w:rPr>
      </w:pPr>
      <w:r w:rsidRPr="00577EA8">
        <w:rPr>
          <w:rFonts w:cs="Arial"/>
        </w:rPr>
        <w:t>The licence holder shall, within 28 days of their occurrence, inform the Traffic Commissioner of any:</w:t>
      </w:r>
    </w:p>
    <w:p w:rsidR="00577EA8" w:rsidRPr="00577EA8" w:rsidRDefault="00577EA8" w:rsidP="00577EA8">
      <w:pPr>
        <w:rPr>
          <w:rFonts w:cs="Arial"/>
        </w:rPr>
      </w:pPr>
    </w:p>
    <w:p w:rsidR="00577EA8" w:rsidRPr="00577EA8" w:rsidRDefault="00577EA8" w:rsidP="00577EA8">
      <w:pPr>
        <w:ind w:left="600"/>
        <w:rPr>
          <w:rFonts w:cs="Arial"/>
        </w:rPr>
      </w:pPr>
      <w:r w:rsidRPr="00577EA8">
        <w:rPr>
          <w:rFonts w:cs="Arial"/>
          <w:b/>
          <w:bCs/>
        </w:rPr>
        <w:t>CHANGES</w:t>
      </w:r>
      <w:r w:rsidRPr="00577EA8">
        <w:rPr>
          <w:rFonts w:cs="Arial"/>
        </w:rPr>
        <w:t xml:space="preserve"> in the maintenance and safety inspection arrangements;</w:t>
      </w:r>
    </w:p>
    <w:p w:rsidR="00577EA8" w:rsidRPr="00577EA8" w:rsidRDefault="00577EA8" w:rsidP="00577EA8">
      <w:pPr>
        <w:ind w:left="600"/>
        <w:rPr>
          <w:rFonts w:cs="Arial"/>
          <w:sz w:val="16"/>
          <w:szCs w:val="16"/>
        </w:rPr>
      </w:pPr>
    </w:p>
    <w:p w:rsidR="00577EA8" w:rsidRPr="00577EA8" w:rsidRDefault="00577EA8" w:rsidP="00577EA8">
      <w:pPr>
        <w:ind w:left="600"/>
        <w:rPr>
          <w:rFonts w:cs="Arial"/>
        </w:rPr>
      </w:pPr>
      <w:r w:rsidRPr="00577EA8">
        <w:rPr>
          <w:rFonts w:cs="Arial"/>
          <w:b/>
          <w:bCs/>
        </w:rPr>
        <w:t>CHANGES</w:t>
      </w:r>
      <w:r w:rsidRPr="00577EA8">
        <w:rPr>
          <w:rFonts w:cs="Arial"/>
        </w:rPr>
        <w:t xml:space="preserve"> in the ownership of the business including partnership arrangements.  Company changes in shareholding need not be notified unless they cause a change in the control of the Company;</w:t>
      </w:r>
    </w:p>
    <w:p w:rsidR="00577EA8" w:rsidRPr="00577EA8" w:rsidRDefault="00577EA8" w:rsidP="00577EA8">
      <w:pPr>
        <w:pStyle w:val="Heading5"/>
        <w:rPr>
          <w:rFonts w:cs="Arial"/>
        </w:rPr>
      </w:pPr>
    </w:p>
    <w:p w:rsidR="00577EA8" w:rsidRPr="00577EA8" w:rsidRDefault="00577EA8" w:rsidP="00577EA8">
      <w:pPr>
        <w:pStyle w:val="Heading5"/>
        <w:rPr>
          <w:rFonts w:cs="Arial"/>
        </w:rPr>
      </w:pPr>
      <w:r w:rsidRPr="00577EA8">
        <w:rPr>
          <w:rFonts w:cs="Arial"/>
        </w:rPr>
        <w:t>EVENTS WHICH AFFECT</w:t>
      </w:r>
    </w:p>
    <w:p w:rsidR="00577EA8" w:rsidRPr="00577EA8" w:rsidRDefault="00577EA8" w:rsidP="00577EA8">
      <w:pPr>
        <w:ind w:left="600"/>
        <w:rPr>
          <w:rFonts w:cs="Arial"/>
          <w:sz w:val="16"/>
          <w:szCs w:val="16"/>
        </w:rPr>
      </w:pPr>
    </w:p>
    <w:p w:rsidR="00577EA8" w:rsidRPr="00577EA8" w:rsidRDefault="00577EA8" w:rsidP="00577EA8">
      <w:pPr>
        <w:ind w:left="600"/>
        <w:rPr>
          <w:rFonts w:cs="Arial"/>
        </w:rPr>
      </w:pPr>
      <w:r w:rsidRPr="00577EA8">
        <w:rPr>
          <w:rFonts w:cs="Arial"/>
        </w:rPr>
        <w:t>The good repute of the licence holder and transport manager (if any), in particular, relevant convictions as defined in schedule 3 to the 1995 Act (this includes the issue of a fixed penalty notice or conditional offer under Part 3 of the Road Traffic Offenders Act 1998);</w:t>
      </w:r>
    </w:p>
    <w:p w:rsidR="00577EA8" w:rsidRPr="00577EA8" w:rsidRDefault="00577EA8" w:rsidP="00577EA8">
      <w:pPr>
        <w:ind w:left="600"/>
        <w:rPr>
          <w:rFonts w:cs="Arial"/>
          <w:sz w:val="16"/>
          <w:szCs w:val="16"/>
        </w:rPr>
      </w:pPr>
    </w:p>
    <w:p w:rsidR="00577EA8" w:rsidRPr="00577EA8" w:rsidRDefault="00577EA8" w:rsidP="00577EA8">
      <w:pPr>
        <w:ind w:left="600"/>
        <w:rPr>
          <w:rFonts w:cs="Arial"/>
        </w:rPr>
      </w:pPr>
      <w:r w:rsidRPr="00577EA8">
        <w:rPr>
          <w:rFonts w:cs="Arial"/>
        </w:rPr>
        <w:t>The professional competence of the licence holder and/or transport manager;</w:t>
      </w:r>
    </w:p>
    <w:p w:rsidR="00577EA8" w:rsidRPr="00577EA8" w:rsidRDefault="00577EA8" w:rsidP="00577EA8">
      <w:pPr>
        <w:ind w:left="600"/>
        <w:rPr>
          <w:rFonts w:cs="Arial"/>
          <w:sz w:val="16"/>
          <w:szCs w:val="16"/>
        </w:rPr>
      </w:pPr>
    </w:p>
    <w:p w:rsidR="00577EA8" w:rsidRPr="00577EA8" w:rsidRDefault="00577EA8" w:rsidP="00577EA8">
      <w:pPr>
        <w:ind w:left="600"/>
        <w:rPr>
          <w:rFonts w:cs="Arial"/>
        </w:rPr>
      </w:pPr>
      <w:r w:rsidRPr="00577EA8">
        <w:rPr>
          <w:rFonts w:cs="Arial"/>
        </w:rPr>
        <w:t>The requirement for the licence holder to be of appropriate financial standing  (including bankruptcy, liquidation, sequestration of estate or entry into administration of the holder or the appointment of a receiver, manager or trustee).</w:t>
      </w:r>
    </w:p>
    <w:p w:rsidR="00577EA8" w:rsidRPr="00577EA8" w:rsidRDefault="00577EA8" w:rsidP="00577EA8">
      <w:pPr>
        <w:ind w:left="600"/>
        <w:rPr>
          <w:rFonts w:cs="Arial"/>
          <w:sz w:val="16"/>
          <w:szCs w:val="16"/>
        </w:rPr>
      </w:pPr>
    </w:p>
    <w:p w:rsidR="00577EA8" w:rsidRPr="00577EA8" w:rsidRDefault="00577EA8" w:rsidP="00577EA8">
      <w:pPr>
        <w:ind w:left="600"/>
        <w:rPr>
          <w:rFonts w:cs="Arial"/>
        </w:rPr>
      </w:pPr>
      <w:r w:rsidRPr="00577EA8">
        <w:rPr>
          <w:rFonts w:cs="Arial"/>
        </w:rPr>
        <w:t>The requirement to have an effective and stable establishment in Great Britain namely;</w:t>
      </w:r>
    </w:p>
    <w:p w:rsidR="00577EA8" w:rsidRPr="00577EA8" w:rsidRDefault="00577EA8" w:rsidP="00577EA8">
      <w:pPr>
        <w:ind w:left="1320"/>
        <w:rPr>
          <w:rFonts w:cs="Arial"/>
        </w:rPr>
      </w:pPr>
      <w:r w:rsidRPr="00577EA8">
        <w:rPr>
          <w:rFonts w:cs="Arial"/>
        </w:rPr>
        <w:t>Any changes to the specified address of establishment, and</w:t>
      </w:r>
    </w:p>
    <w:p w:rsidR="00577EA8" w:rsidRPr="00577EA8" w:rsidRDefault="00577EA8" w:rsidP="00577EA8">
      <w:pPr>
        <w:ind w:left="720" w:firstLine="600"/>
        <w:rPr>
          <w:rFonts w:cs="Arial"/>
          <w:sz w:val="16"/>
          <w:szCs w:val="16"/>
        </w:rPr>
      </w:pPr>
    </w:p>
    <w:p w:rsidR="00577EA8" w:rsidRPr="00577EA8" w:rsidRDefault="00577EA8" w:rsidP="00577EA8">
      <w:pPr>
        <w:ind w:left="1320"/>
        <w:rPr>
          <w:rFonts w:cs="Arial"/>
        </w:rPr>
      </w:pPr>
      <w:r w:rsidRPr="00577EA8">
        <w:rPr>
          <w:rFonts w:cs="Arial"/>
        </w:rPr>
        <w:t>the requirement to have access at all times to at least one goods vehicle registered or in circulation in Great Britain</w:t>
      </w:r>
    </w:p>
    <w:p w:rsidR="00577EA8" w:rsidRDefault="00577EA8" w:rsidP="00577EA8">
      <w:pPr>
        <w:pStyle w:val="Heading3"/>
        <w:rPr>
          <w:rFonts w:cs="Arial"/>
          <w:sz w:val="22"/>
          <w:szCs w:val="22"/>
        </w:rPr>
      </w:pPr>
    </w:p>
    <w:p w:rsidR="00577EA8" w:rsidRPr="00310B36" w:rsidRDefault="00577EA8" w:rsidP="00577EA8">
      <w:pPr>
        <w:pStyle w:val="Heading3"/>
        <w:rPr>
          <w:rFonts w:cs="Arial"/>
          <w:sz w:val="22"/>
          <w:szCs w:val="22"/>
        </w:rPr>
      </w:pPr>
      <w:r w:rsidRPr="00310B36">
        <w:rPr>
          <w:rFonts w:cs="Arial"/>
          <w:sz w:val="22"/>
          <w:szCs w:val="22"/>
        </w:rPr>
        <w:t>GENERAL UNDERTAKINGS – STANDARD NATIONAL LICENCES</w:t>
      </w:r>
    </w:p>
    <w:p w:rsidR="00577EA8" w:rsidRDefault="00577EA8" w:rsidP="00577EA8">
      <w:pPr>
        <w:rPr>
          <w:rFonts w:cs="Arial"/>
        </w:rPr>
      </w:pPr>
    </w:p>
    <w:p w:rsidR="00577EA8" w:rsidRPr="009B258B" w:rsidRDefault="00577EA8" w:rsidP="00577EA8">
      <w:pPr>
        <w:rPr>
          <w:rFonts w:cs="Arial"/>
        </w:rPr>
      </w:pPr>
      <w:r w:rsidRPr="009B258B">
        <w:rPr>
          <w:rFonts w:cs="Arial"/>
        </w:rPr>
        <w:t>The licence holder undertakes to make proper arrangements so that:</w:t>
      </w:r>
    </w:p>
    <w:p w:rsidR="00577EA8" w:rsidRPr="00577EA8" w:rsidRDefault="00577EA8" w:rsidP="00577EA8">
      <w:pPr>
        <w:rPr>
          <w:rFonts w:cs="Arial"/>
          <w:sz w:val="16"/>
          <w:szCs w:val="16"/>
        </w:rPr>
      </w:pPr>
    </w:p>
    <w:p w:rsidR="00577EA8" w:rsidRPr="009B258B" w:rsidRDefault="00577EA8" w:rsidP="00577EA8">
      <w:pPr>
        <w:ind w:left="720"/>
        <w:rPr>
          <w:rFonts w:cs="Arial"/>
        </w:rPr>
      </w:pPr>
      <w:r w:rsidRPr="009B258B">
        <w:rPr>
          <w:rFonts w:cs="Arial"/>
        </w:rPr>
        <w:t>The rules on drivers’ hours and tachographs are observed and proper records kept;</w:t>
      </w:r>
    </w:p>
    <w:p w:rsidR="00577EA8" w:rsidRPr="00577EA8" w:rsidRDefault="00577EA8" w:rsidP="00577EA8">
      <w:pPr>
        <w:rPr>
          <w:rFonts w:cs="Arial"/>
          <w:sz w:val="16"/>
          <w:szCs w:val="16"/>
        </w:rPr>
      </w:pPr>
    </w:p>
    <w:p w:rsidR="00577EA8" w:rsidRPr="009B258B" w:rsidRDefault="00577EA8" w:rsidP="00577EA8">
      <w:pPr>
        <w:rPr>
          <w:rFonts w:cs="Arial"/>
        </w:rPr>
      </w:pPr>
      <w:r w:rsidRPr="009B258B">
        <w:rPr>
          <w:rFonts w:cs="Arial"/>
        </w:rPr>
        <w:tab/>
        <w:t>Motor vehicles and trailers are not overloaded;</w:t>
      </w:r>
    </w:p>
    <w:p w:rsidR="00577EA8" w:rsidRPr="00577EA8" w:rsidRDefault="00577EA8" w:rsidP="00577EA8">
      <w:pPr>
        <w:rPr>
          <w:rFonts w:cs="Arial"/>
          <w:sz w:val="16"/>
          <w:szCs w:val="16"/>
        </w:rPr>
      </w:pPr>
    </w:p>
    <w:p w:rsidR="00577EA8" w:rsidRPr="009B258B" w:rsidRDefault="00577EA8" w:rsidP="00577EA8">
      <w:pPr>
        <w:rPr>
          <w:rFonts w:cs="Arial"/>
        </w:rPr>
      </w:pPr>
      <w:r w:rsidRPr="009B258B">
        <w:rPr>
          <w:rFonts w:cs="Arial"/>
        </w:rPr>
        <w:tab/>
        <w:t>Vehicles will operate within speed limits;</w:t>
      </w:r>
    </w:p>
    <w:p w:rsidR="00577EA8" w:rsidRPr="00577EA8" w:rsidRDefault="00577EA8" w:rsidP="00577EA8">
      <w:pPr>
        <w:rPr>
          <w:rFonts w:cs="Arial"/>
          <w:sz w:val="16"/>
          <w:szCs w:val="16"/>
        </w:rPr>
      </w:pPr>
    </w:p>
    <w:p w:rsidR="00577EA8" w:rsidRPr="009B258B" w:rsidRDefault="00577EA8" w:rsidP="00577EA8">
      <w:pPr>
        <w:ind w:left="720"/>
        <w:rPr>
          <w:rFonts w:cs="Arial"/>
        </w:rPr>
      </w:pPr>
      <w:r w:rsidRPr="009B258B">
        <w:rPr>
          <w:rFonts w:cs="Arial"/>
        </w:rPr>
        <w:t>Motor vehicles and trailers, including hired vehicles and trailers, are kept fit and serviceable;</w:t>
      </w:r>
    </w:p>
    <w:p w:rsidR="00577EA8" w:rsidRPr="00577EA8" w:rsidRDefault="00577EA8" w:rsidP="00577EA8">
      <w:pPr>
        <w:ind w:left="720"/>
        <w:rPr>
          <w:rFonts w:cs="Arial"/>
          <w:sz w:val="16"/>
          <w:szCs w:val="16"/>
        </w:rPr>
      </w:pPr>
    </w:p>
    <w:p w:rsidR="00577EA8" w:rsidRPr="009B258B" w:rsidRDefault="00577EA8" w:rsidP="00577EA8">
      <w:pPr>
        <w:ind w:left="720"/>
        <w:rPr>
          <w:rFonts w:cs="Arial"/>
        </w:rPr>
      </w:pPr>
      <w:r w:rsidRPr="009B258B">
        <w:rPr>
          <w:rFonts w:cs="Arial"/>
        </w:rPr>
        <w:t>Drivers report promptly any defects or symptoms of defects that could prevent the safe operation of vehicles and/or trailers, and that any defects are promptly recorded in writing;</w:t>
      </w:r>
    </w:p>
    <w:p w:rsidR="00577EA8" w:rsidRPr="00577EA8" w:rsidRDefault="00577EA8" w:rsidP="00577EA8">
      <w:pPr>
        <w:ind w:left="720"/>
        <w:rPr>
          <w:rFonts w:cs="Arial"/>
          <w:sz w:val="16"/>
          <w:szCs w:val="16"/>
        </w:rPr>
      </w:pPr>
    </w:p>
    <w:p w:rsidR="00577EA8" w:rsidRPr="009B258B" w:rsidRDefault="00577EA8" w:rsidP="00577EA8">
      <w:pPr>
        <w:ind w:left="720"/>
        <w:rPr>
          <w:rFonts w:cs="Arial"/>
        </w:rPr>
      </w:pPr>
      <w:r w:rsidRPr="009B258B">
        <w:rPr>
          <w:rFonts w:cs="Arial"/>
        </w:rPr>
        <w:t>Records are kept (for 15 months) of all driver defect reports, all safety inspections, routine maintenance and repairs to vehicles and trailers and these are made available on request; and</w:t>
      </w:r>
    </w:p>
    <w:p w:rsidR="00577EA8" w:rsidRPr="00577EA8" w:rsidRDefault="00577EA8" w:rsidP="00577EA8">
      <w:pPr>
        <w:ind w:left="720"/>
        <w:rPr>
          <w:rFonts w:cs="Arial"/>
          <w:sz w:val="16"/>
          <w:szCs w:val="16"/>
        </w:rPr>
      </w:pPr>
    </w:p>
    <w:p w:rsidR="009B258B" w:rsidRPr="00124AF8" w:rsidRDefault="00577EA8" w:rsidP="00124AF8">
      <w:pPr>
        <w:ind w:left="720"/>
        <w:rPr>
          <w:rFonts w:cs="Arial"/>
        </w:rPr>
      </w:pPr>
      <w:r w:rsidRPr="009B258B">
        <w:rPr>
          <w:rFonts w:cs="Arial"/>
        </w:rPr>
        <w:t>In respect of each operating centre specified, that the number of authorised motor vehicles and the number of authorised trailers kept there will not exceed the maximum numbers recorded against the ope</w:t>
      </w:r>
      <w:r>
        <w:rPr>
          <w:rFonts w:cs="Arial"/>
        </w:rPr>
        <w:t xml:space="preserve">rating centre in this licence. </w:t>
      </w:r>
    </w:p>
    <w:p w:rsidR="000D71A6" w:rsidRPr="00AC3D48" w:rsidRDefault="000D71A6" w:rsidP="00313E9D">
      <w:pPr>
        <w:rPr>
          <w:rFonts w:cs="Arial"/>
        </w:rPr>
      </w:pPr>
      <w:r w:rsidRPr="00AC3D48">
        <w:rPr>
          <w:rFonts w:cs="Arial"/>
        </w:rPr>
        <w:t xml:space="preserve"> </w:t>
      </w:r>
    </w:p>
    <w:p w:rsidR="002A3A59" w:rsidRPr="00AC3D48" w:rsidRDefault="002A3A59">
      <w:pPr>
        <w:rPr>
          <w:rFonts w:cs="Arial"/>
        </w:rPr>
      </w:pPr>
      <w:r w:rsidRPr="00AC3D48">
        <w:rPr>
          <w:rFonts w:cs="Arial"/>
        </w:rPr>
        <w:br w:type="page"/>
      </w:r>
      <w:r w:rsidRPr="00AC3D48">
        <w:rPr>
          <w:rFonts w:cs="Arial"/>
        </w:rPr>
        <w:lastRenderedPageBreak/>
        <w:t>Notes:</w:t>
      </w:r>
    </w:p>
    <w:p w:rsidR="002A3A59" w:rsidRPr="00AC3D48" w:rsidRDefault="002A3A59">
      <w:pPr>
        <w:rPr>
          <w:rFonts w:cs="Arial"/>
        </w:rPr>
      </w:pPr>
    </w:p>
    <w:p w:rsidR="00C27E85" w:rsidRPr="00AC3D48" w:rsidRDefault="00C27E85" w:rsidP="00C27E85">
      <w:pPr>
        <w:rPr>
          <w:rFonts w:cs="Arial"/>
        </w:rPr>
      </w:pPr>
      <w:r w:rsidRPr="00AC3D48">
        <w:rPr>
          <w:rFonts w:cs="Arial"/>
        </w:rPr>
        <w:t xml:space="preserve">1. </w:t>
      </w:r>
      <w:r w:rsidR="0087484C" w:rsidRPr="00AC3D48">
        <w:rPr>
          <w:rFonts w:cs="Arial"/>
        </w:rPr>
        <w:t xml:space="preserve">The continuation fee is payable before the end of the month which precedes the date of expiry of a period of 5 years, beginning with the date of either the issuing of the licence or the most recent 5 year anniversary of that date, whichever is the later.  There is no legal obligation for the traffic commissioner to send a reminder that the continuation fee is due although a licence checklist will be sent to the correspondence address of the licence </w:t>
      </w:r>
      <w:r w:rsidR="000D71A6" w:rsidRPr="00AC3D48">
        <w:rPr>
          <w:rFonts w:cs="Arial"/>
        </w:rPr>
        <w:t>holder kept</w:t>
      </w:r>
      <w:r w:rsidR="0087484C" w:rsidRPr="00AC3D48">
        <w:rPr>
          <w:rFonts w:cs="Arial"/>
        </w:rPr>
        <w:t xml:space="preserve"> on file.  If you have received no contact two weeks before the continuation date, please urgently contact the Central Licensing Office.</w:t>
      </w:r>
    </w:p>
    <w:p w:rsidR="00C27E85" w:rsidRPr="00AC3D48" w:rsidRDefault="00C27E85" w:rsidP="00C27E85">
      <w:pPr>
        <w:rPr>
          <w:rFonts w:cs="Arial"/>
        </w:rPr>
      </w:pPr>
    </w:p>
    <w:p w:rsidR="00C27E85" w:rsidRPr="00AC3D48" w:rsidRDefault="00C27E85" w:rsidP="00C27E85">
      <w:pPr>
        <w:rPr>
          <w:rFonts w:cs="Arial"/>
        </w:rPr>
      </w:pPr>
      <w:r w:rsidRPr="00AC3D48">
        <w:rPr>
          <w:rFonts w:cs="Arial"/>
        </w:rPr>
        <w:t xml:space="preserve">2. </w:t>
      </w:r>
      <w:r w:rsidR="0087484C" w:rsidRPr="00AC3D48">
        <w:rPr>
          <w:rFonts w:cs="Arial"/>
        </w:rPr>
        <w:t>The “holder” of a licence is the person to whom the licence was issued. An operating centre is defined as the base or centre at which the licence holder’s vehicles (and trailers) are normally kept. Every five years, for a period of two months the traffic commissioner has the power under section 30 of the Goods Vehicles (Licensing of Operators) Act 1995 to review the suitability of an operating centre should there be any concerns.  If a review is to be conducted an operator will be contacted in writing.</w:t>
      </w:r>
    </w:p>
    <w:p w:rsidR="00C27E85" w:rsidRPr="00AC3D48" w:rsidRDefault="00C27E85" w:rsidP="00C27E85">
      <w:pPr>
        <w:rPr>
          <w:rFonts w:cs="Arial"/>
        </w:rPr>
      </w:pPr>
    </w:p>
    <w:p w:rsidR="00C27E85" w:rsidRPr="00AC3D48" w:rsidRDefault="00C27E85" w:rsidP="00C27E85">
      <w:pPr>
        <w:rPr>
          <w:rFonts w:cs="Arial"/>
        </w:rPr>
      </w:pPr>
      <w:r w:rsidRPr="00AC3D48">
        <w:rPr>
          <w:rFonts w:cs="Arial"/>
        </w:rPr>
        <w:t>3. This licence authorises the use of a maximum number of vehicles and trailers by the licence holder. Vehicles currently in the holder’s possession, and for which vehicle discs have been issued, are recorded as “specified” vehicles on the licence. The difference between the number of vehicles in possession and the total authorisation is known as the “margin”.</w:t>
      </w:r>
    </w:p>
    <w:p w:rsidR="00C27E85" w:rsidRPr="00AC3D48" w:rsidRDefault="00C27E85" w:rsidP="00C27E85">
      <w:pPr>
        <w:rPr>
          <w:rFonts w:cs="Arial"/>
        </w:rPr>
      </w:pPr>
    </w:p>
    <w:p w:rsidR="00C27E85" w:rsidRPr="00AC3D48" w:rsidRDefault="00C27E85" w:rsidP="00C27E85">
      <w:pPr>
        <w:rPr>
          <w:rFonts w:cs="Arial"/>
        </w:rPr>
      </w:pPr>
      <w:r w:rsidRPr="00AC3D48">
        <w:rPr>
          <w:rFonts w:cs="Arial"/>
        </w:rPr>
        <w:t>4. Within the margin, the licence holder may operate vehicles additional to those currently specified on the licence (but without exceeding the total authorisation) for a maximum of one month beginning with the day on which the vehicle was first in the licence holder’s lawful possession. If the period of use of any vehicle is one month or less there is no requirement to notify the central licensing office. To use a vehicle for more than one month, and remain within the law, the licence holder must inform the central licensing office before that month is up. The vehicle then becomes specified on the licence and the margin is reduced accordingly.</w:t>
      </w:r>
    </w:p>
    <w:p w:rsidR="00C27E85" w:rsidRPr="00AC3D48" w:rsidRDefault="00C27E85" w:rsidP="00C27E85">
      <w:pPr>
        <w:rPr>
          <w:rFonts w:cs="Arial"/>
        </w:rPr>
      </w:pPr>
    </w:p>
    <w:p w:rsidR="00C27E85" w:rsidRPr="00AC3D48" w:rsidRDefault="00C27E85" w:rsidP="00C27E85">
      <w:pPr>
        <w:rPr>
          <w:rFonts w:cs="Arial"/>
        </w:rPr>
      </w:pPr>
      <w:r w:rsidRPr="00AC3D48">
        <w:rPr>
          <w:rFonts w:cs="Arial"/>
        </w:rPr>
        <w:t>5. If the vehicles specified on the licence are equal to the total authorisation, the holder cannot operate any additional vehicles, temporarily or otherwise, without having first applied for, and been granted, authority to do so.</w:t>
      </w:r>
    </w:p>
    <w:p w:rsidR="00C27E85" w:rsidRPr="00AC3D48" w:rsidRDefault="00C27E85" w:rsidP="00C27E85">
      <w:pPr>
        <w:rPr>
          <w:rFonts w:cs="Arial"/>
        </w:rPr>
      </w:pPr>
    </w:p>
    <w:p w:rsidR="00C27E85" w:rsidRPr="00AC3D48" w:rsidRDefault="00C27E85" w:rsidP="00C27E85">
      <w:pPr>
        <w:rPr>
          <w:rFonts w:cs="Arial"/>
        </w:rPr>
      </w:pPr>
      <w:r w:rsidRPr="00AC3D48">
        <w:rPr>
          <w:rFonts w:cs="Arial"/>
        </w:rPr>
        <w:t>6. The licence holder cannot change or add an operating centre without having first applied for, and been granted, authority to do so. Failure to obtain authority to use a place as an operating centre may result in a fine on summary conviction and disciplinary action being taken against the licence.</w:t>
      </w:r>
    </w:p>
    <w:p w:rsidR="00C27E85" w:rsidRPr="00AC3D48" w:rsidRDefault="00C27E85" w:rsidP="00C27E85">
      <w:pPr>
        <w:rPr>
          <w:rFonts w:cs="Arial"/>
        </w:rPr>
      </w:pPr>
    </w:p>
    <w:p w:rsidR="00C27E85" w:rsidRPr="00AC3D48" w:rsidRDefault="00C27E85" w:rsidP="00C27E85">
      <w:pPr>
        <w:rPr>
          <w:rFonts w:cs="Arial"/>
        </w:rPr>
      </w:pPr>
      <w:r w:rsidRPr="00AC3D48">
        <w:rPr>
          <w:rFonts w:cs="Arial"/>
        </w:rPr>
        <w:t>7. In addition to the general conditions detailed elsewhere in this document, legislation requires licence holders to inform the traffic commissioner of any change of correspondence address, within 28 days. Failure to inform the traffic commissioner of a change of correspondence address may result in the revocation of the licence.</w:t>
      </w:r>
    </w:p>
    <w:p w:rsidR="00C27E85" w:rsidRPr="00AC3D48" w:rsidRDefault="00C27E85" w:rsidP="00C27E85">
      <w:pPr>
        <w:rPr>
          <w:rFonts w:cs="Arial"/>
        </w:rPr>
      </w:pPr>
    </w:p>
    <w:p w:rsidR="00C27E85" w:rsidRPr="000D71A6" w:rsidRDefault="00C27E85" w:rsidP="00C27E85">
      <w:pPr>
        <w:rPr>
          <w:rFonts w:cs="Arial"/>
        </w:rPr>
      </w:pPr>
      <w:r w:rsidRPr="00AC3D48">
        <w:rPr>
          <w:rFonts w:cs="Arial"/>
        </w:rPr>
        <w:t>8. A licence holder who does not fulfil an undertaking or condition recorded on his licence may be committing an offence and will be liable to disciplinary action by the traffic commissioner. A licence may be revoked, suspended or curtailed.</w:t>
      </w:r>
    </w:p>
    <w:p w:rsidR="00C27E85" w:rsidRPr="000D71A6" w:rsidRDefault="00C27E85" w:rsidP="00C27E85">
      <w:pPr>
        <w:rPr>
          <w:rFonts w:cs="Arial"/>
        </w:rPr>
      </w:pPr>
    </w:p>
    <w:sectPr w:rsidR="00C27E85" w:rsidRPr="000D71A6" w:rsidSect="000D71A6">
      <w:footerReference w:type="default" r:id="rId9"/>
      <w:footerReference w:type="first" r:id="rId10"/>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82" w:rsidRDefault="001A1D82">
      <w:r>
        <w:separator/>
      </w:r>
    </w:p>
  </w:endnote>
  <w:endnote w:type="continuationSeparator" w:id="0">
    <w:p w:rsidR="001A1D82" w:rsidRDefault="001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59" w:rsidRDefault="002A3A59">
    <w:pPr>
      <w:pStyle w:val="Footer"/>
      <w:framePr w:wrap="auto" w:vAnchor="text" w:hAnchor="margin" w:xAlign="right" w:y="1"/>
      <w:rPr>
        <w:rStyle w:val="PageNumber"/>
        <w:rFonts w:ascii="Arial" w:hAnsi="Arial" w:cs="Arial"/>
      </w:rPr>
    </w:pPr>
  </w:p>
  <w:p w:rsidR="002A3A59" w:rsidRPr="00F7726D" w:rsidRDefault="002D1D97">
    <w:pPr>
      <w:pStyle w:val="Footer"/>
      <w:ind w:right="360"/>
    </w:pPr>
    <w:r>
      <w:t xml:space="preserve">Page </w:t>
    </w:r>
    <w:r w:rsidR="00FA56CC" w:rsidRPr="00F7726D">
      <w:rPr>
        <w:rStyle w:val="PageNumber"/>
        <w:rFonts w:ascii="Arial" w:hAnsi="Arial" w:cs="Arial"/>
      </w:rPr>
      <w:fldChar w:fldCharType="begin"/>
    </w:r>
    <w:r w:rsidR="00FA56CC" w:rsidRPr="00F7726D">
      <w:rPr>
        <w:rStyle w:val="PageNumber"/>
        <w:rFonts w:ascii="Arial" w:hAnsi="Arial" w:cs="Arial"/>
      </w:rPr>
      <w:instrText xml:space="preserve"> PAGE </w:instrText>
    </w:r>
    <w:r w:rsidR="00FA56CC" w:rsidRPr="00F7726D">
      <w:rPr>
        <w:rStyle w:val="PageNumber"/>
        <w:rFonts w:ascii="Arial" w:hAnsi="Arial" w:cs="Arial"/>
      </w:rPr>
      <w:fldChar w:fldCharType="separate"/>
    </w:r>
    <w:r w:rsidR="003C5DFE">
      <w:rPr>
        <w:rStyle w:val="PageNumber"/>
        <w:rFonts w:ascii="Arial" w:hAnsi="Arial" w:cs="Arial"/>
        <w:noProof/>
      </w:rPr>
      <w:t>2</w:t>
    </w:r>
    <w:r w:rsidR="00FA56CC" w:rsidRPr="00F7726D">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49" w:rsidRPr="00A85440" w:rsidRDefault="0076194B" w:rsidP="00A85440">
    <w:pPr>
      <w:pStyle w:val="Footer"/>
    </w:pPr>
    <w:r>
      <w:t xml:space="preserve">Page </w:t>
    </w:r>
    <w:r w:rsidR="00903347">
      <w:t>1</w:t>
    </w:r>
    <w:r w:rsidR="001F59B6">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82" w:rsidRDefault="001A1D82">
      <w:r>
        <w:separator/>
      </w:r>
    </w:p>
  </w:footnote>
  <w:footnote w:type="continuationSeparator" w:id="0">
    <w:p w:rsidR="001A1D82" w:rsidRDefault="001A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1B3"/>
    <w:multiLevelType w:val="hybridMultilevel"/>
    <w:tmpl w:val="9FF625AA"/>
    <w:lvl w:ilvl="0" w:tplc="5A748F7E">
      <w:start w:val="1"/>
      <w:numFmt w:val="decimal"/>
      <w:lvlText w:val="%1."/>
      <w:lvlJc w:val="left"/>
      <w:pPr>
        <w:tabs>
          <w:tab w:val="num" w:pos="720"/>
        </w:tabs>
        <w:ind w:left="720" w:hanging="360"/>
      </w:pPr>
      <w:rPr>
        <w:rFonts w:ascii="Times New Roman" w:hAnsi="Times New Roman" w:cs="Times New Roman"/>
        <w:sz w:val="22"/>
        <w:szCs w:val="22"/>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8420232"/>
    <w:multiLevelType w:val="hybridMultilevel"/>
    <w:tmpl w:val="EBF4782E"/>
    <w:lvl w:ilvl="0" w:tplc="08090001">
      <w:start w:val="1"/>
      <w:numFmt w:val="bullet"/>
      <w:lvlText w:val=""/>
      <w:lvlJc w:val="left"/>
      <w:pPr>
        <w:tabs>
          <w:tab w:val="num" w:pos="960"/>
        </w:tabs>
        <w:ind w:left="960" w:hanging="360"/>
      </w:pPr>
      <w:rPr>
        <w:rFonts w:ascii="Symbol" w:hAnsi="Symbol" w:hint="default"/>
      </w:rPr>
    </w:lvl>
    <w:lvl w:ilvl="1" w:tplc="04090019">
      <w:start w:val="1"/>
      <w:numFmt w:val="lowerLetter"/>
      <w:lvlText w:val="%2."/>
      <w:lvlJc w:val="left"/>
      <w:pPr>
        <w:tabs>
          <w:tab w:val="num" w:pos="1680"/>
        </w:tabs>
        <w:ind w:left="1680" w:hanging="360"/>
      </w:pPr>
      <w:rPr>
        <w:rFonts w:cs="Arial"/>
      </w:rPr>
    </w:lvl>
    <w:lvl w:ilvl="2" w:tplc="0409001B">
      <w:start w:val="1"/>
      <w:numFmt w:val="lowerRoman"/>
      <w:lvlText w:val="%3."/>
      <w:lvlJc w:val="right"/>
      <w:pPr>
        <w:tabs>
          <w:tab w:val="num" w:pos="2400"/>
        </w:tabs>
        <w:ind w:left="2400" w:hanging="180"/>
      </w:pPr>
      <w:rPr>
        <w:rFonts w:cs="Arial"/>
      </w:rPr>
    </w:lvl>
    <w:lvl w:ilvl="3" w:tplc="0409000F">
      <w:start w:val="1"/>
      <w:numFmt w:val="decimal"/>
      <w:lvlText w:val="%4."/>
      <w:lvlJc w:val="left"/>
      <w:pPr>
        <w:tabs>
          <w:tab w:val="num" w:pos="3120"/>
        </w:tabs>
        <w:ind w:left="3120" w:hanging="360"/>
      </w:pPr>
      <w:rPr>
        <w:rFonts w:cs="Arial"/>
      </w:rPr>
    </w:lvl>
    <w:lvl w:ilvl="4" w:tplc="04090019">
      <w:start w:val="1"/>
      <w:numFmt w:val="lowerLetter"/>
      <w:lvlText w:val="%5."/>
      <w:lvlJc w:val="left"/>
      <w:pPr>
        <w:tabs>
          <w:tab w:val="num" w:pos="3840"/>
        </w:tabs>
        <w:ind w:left="3840" w:hanging="360"/>
      </w:pPr>
      <w:rPr>
        <w:rFonts w:cs="Arial"/>
      </w:rPr>
    </w:lvl>
    <w:lvl w:ilvl="5" w:tplc="0409001B">
      <w:start w:val="1"/>
      <w:numFmt w:val="lowerRoman"/>
      <w:lvlText w:val="%6."/>
      <w:lvlJc w:val="right"/>
      <w:pPr>
        <w:tabs>
          <w:tab w:val="num" w:pos="4560"/>
        </w:tabs>
        <w:ind w:left="4560" w:hanging="180"/>
      </w:pPr>
      <w:rPr>
        <w:rFonts w:cs="Arial"/>
      </w:rPr>
    </w:lvl>
    <w:lvl w:ilvl="6" w:tplc="0409000F">
      <w:start w:val="1"/>
      <w:numFmt w:val="decimal"/>
      <w:lvlText w:val="%7."/>
      <w:lvlJc w:val="left"/>
      <w:pPr>
        <w:tabs>
          <w:tab w:val="num" w:pos="5280"/>
        </w:tabs>
        <w:ind w:left="5280" w:hanging="360"/>
      </w:pPr>
      <w:rPr>
        <w:rFonts w:cs="Arial"/>
      </w:rPr>
    </w:lvl>
    <w:lvl w:ilvl="7" w:tplc="04090019">
      <w:start w:val="1"/>
      <w:numFmt w:val="lowerLetter"/>
      <w:lvlText w:val="%8."/>
      <w:lvlJc w:val="left"/>
      <w:pPr>
        <w:tabs>
          <w:tab w:val="num" w:pos="6000"/>
        </w:tabs>
        <w:ind w:left="6000" w:hanging="360"/>
      </w:pPr>
      <w:rPr>
        <w:rFonts w:cs="Arial"/>
      </w:rPr>
    </w:lvl>
    <w:lvl w:ilvl="8" w:tplc="0409001B">
      <w:start w:val="1"/>
      <w:numFmt w:val="lowerRoman"/>
      <w:lvlText w:val="%9."/>
      <w:lvlJc w:val="right"/>
      <w:pPr>
        <w:tabs>
          <w:tab w:val="num" w:pos="6720"/>
        </w:tabs>
        <w:ind w:left="6720" w:hanging="180"/>
      </w:pPr>
      <w:rPr>
        <w:rFonts w:cs="Arial"/>
      </w:rPr>
    </w:lvl>
  </w:abstractNum>
  <w:abstractNum w:abstractNumId="2" w15:restartNumberingAfterBreak="0">
    <w:nsid w:val="6BCE075D"/>
    <w:multiLevelType w:val="hybridMultilevel"/>
    <w:tmpl w:val="B37ADF8A"/>
    <w:lvl w:ilvl="0" w:tplc="6E90E73E">
      <w:start w:val="1"/>
      <w:numFmt w:val="decimal"/>
      <w:lvlText w:val="%1."/>
      <w:lvlJc w:val="left"/>
      <w:pPr>
        <w:tabs>
          <w:tab w:val="num" w:pos="960"/>
        </w:tabs>
        <w:ind w:left="960" w:hanging="360"/>
      </w:pPr>
      <w:rPr>
        <w:rFonts w:cs="Arial" w:hint="default"/>
      </w:rPr>
    </w:lvl>
    <w:lvl w:ilvl="1" w:tplc="04090019">
      <w:start w:val="1"/>
      <w:numFmt w:val="lowerLetter"/>
      <w:lvlText w:val="%2."/>
      <w:lvlJc w:val="left"/>
      <w:pPr>
        <w:tabs>
          <w:tab w:val="num" w:pos="1680"/>
        </w:tabs>
        <w:ind w:left="1680" w:hanging="360"/>
      </w:pPr>
      <w:rPr>
        <w:rFonts w:cs="Arial"/>
      </w:rPr>
    </w:lvl>
    <w:lvl w:ilvl="2" w:tplc="0409001B">
      <w:start w:val="1"/>
      <w:numFmt w:val="lowerRoman"/>
      <w:lvlText w:val="%3."/>
      <w:lvlJc w:val="right"/>
      <w:pPr>
        <w:tabs>
          <w:tab w:val="num" w:pos="2400"/>
        </w:tabs>
        <w:ind w:left="2400" w:hanging="180"/>
      </w:pPr>
      <w:rPr>
        <w:rFonts w:cs="Arial"/>
      </w:rPr>
    </w:lvl>
    <w:lvl w:ilvl="3" w:tplc="0409000F">
      <w:start w:val="1"/>
      <w:numFmt w:val="decimal"/>
      <w:lvlText w:val="%4."/>
      <w:lvlJc w:val="left"/>
      <w:pPr>
        <w:tabs>
          <w:tab w:val="num" w:pos="3120"/>
        </w:tabs>
        <w:ind w:left="3120" w:hanging="360"/>
      </w:pPr>
      <w:rPr>
        <w:rFonts w:cs="Arial"/>
      </w:rPr>
    </w:lvl>
    <w:lvl w:ilvl="4" w:tplc="04090019">
      <w:start w:val="1"/>
      <w:numFmt w:val="lowerLetter"/>
      <w:lvlText w:val="%5."/>
      <w:lvlJc w:val="left"/>
      <w:pPr>
        <w:tabs>
          <w:tab w:val="num" w:pos="3840"/>
        </w:tabs>
        <w:ind w:left="3840" w:hanging="360"/>
      </w:pPr>
      <w:rPr>
        <w:rFonts w:cs="Arial"/>
      </w:rPr>
    </w:lvl>
    <w:lvl w:ilvl="5" w:tplc="0409001B">
      <w:start w:val="1"/>
      <w:numFmt w:val="lowerRoman"/>
      <w:lvlText w:val="%6."/>
      <w:lvlJc w:val="right"/>
      <w:pPr>
        <w:tabs>
          <w:tab w:val="num" w:pos="4560"/>
        </w:tabs>
        <w:ind w:left="4560" w:hanging="180"/>
      </w:pPr>
      <w:rPr>
        <w:rFonts w:cs="Arial"/>
      </w:rPr>
    </w:lvl>
    <w:lvl w:ilvl="6" w:tplc="0409000F">
      <w:start w:val="1"/>
      <w:numFmt w:val="decimal"/>
      <w:lvlText w:val="%7."/>
      <w:lvlJc w:val="left"/>
      <w:pPr>
        <w:tabs>
          <w:tab w:val="num" w:pos="5280"/>
        </w:tabs>
        <w:ind w:left="5280" w:hanging="360"/>
      </w:pPr>
      <w:rPr>
        <w:rFonts w:cs="Arial"/>
      </w:rPr>
    </w:lvl>
    <w:lvl w:ilvl="7" w:tplc="04090019">
      <w:start w:val="1"/>
      <w:numFmt w:val="lowerLetter"/>
      <w:lvlText w:val="%8."/>
      <w:lvlJc w:val="left"/>
      <w:pPr>
        <w:tabs>
          <w:tab w:val="num" w:pos="6000"/>
        </w:tabs>
        <w:ind w:left="6000" w:hanging="360"/>
      </w:pPr>
      <w:rPr>
        <w:rFonts w:cs="Arial"/>
      </w:rPr>
    </w:lvl>
    <w:lvl w:ilvl="8" w:tplc="0409001B">
      <w:start w:val="1"/>
      <w:numFmt w:val="lowerRoman"/>
      <w:lvlText w:val="%9."/>
      <w:lvlJc w:val="right"/>
      <w:pPr>
        <w:tabs>
          <w:tab w:val="num" w:pos="6720"/>
        </w:tabs>
        <w:ind w:left="6720" w:hanging="180"/>
      </w:pPr>
      <w:rPr>
        <w:rFonts w:cs="Arial"/>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8B"/>
    <w:rsid w:val="00054BA3"/>
    <w:rsid w:val="000D71A6"/>
    <w:rsid w:val="001127DF"/>
    <w:rsid w:val="0012489C"/>
    <w:rsid w:val="00124AF8"/>
    <w:rsid w:val="00141535"/>
    <w:rsid w:val="001A1D82"/>
    <w:rsid w:val="001A6A0B"/>
    <w:rsid w:val="001F59B6"/>
    <w:rsid w:val="00262B03"/>
    <w:rsid w:val="002A2B95"/>
    <w:rsid w:val="002A3A59"/>
    <w:rsid w:val="002C33AF"/>
    <w:rsid w:val="002D1D97"/>
    <w:rsid w:val="00301EBF"/>
    <w:rsid w:val="00310B36"/>
    <w:rsid w:val="00313E9D"/>
    <w:rsid w:val="00353588"/>
    <w:rsid w:val="003C5DFE"/>
    <w:rsid w:val="00454579"/>
    <w:rsid w:val="00527D43"/>
    <w:rsid w:val="00577EA8"/>
    <w:rsid w:val="005C45D0"/>
    <w:rsid w:val="006F182D"/>
    <w:rsid w:val="0075537A"/>
    <w:rsid w:val="0076194B"/>
    <w:rsid w:val="007A65A1"/>
    <w:rsid w:val="0087484C"/>
    <w:rsid w:val="00903347"/>
    <w:rsid w:val="009B258B"/>
    <w:rsid w:val="009E7849"/>
    <w:rsid w:val="00A734F3"/>
    <w:rsid w:val="00A85440"/>
    <w:rsid w:val="00AC3D48"/>
    <w:rsid w:val="00AC401C"/>
    <w:rsid w:val="00B15EA2"/>
    <w:rsid w:val="00BB6E15"/>
    <w:rsid w:val="00C27E85"/>
    <w:rsid w:val="00CA7D2C"/>
    <w:rsid w:val="00F62D86"/>
    <w:rsid w:val="00F70B82"/>
    <w:rsid w:val="00F7726D"/>
    <w:rsid w:val="00F80067"/>
    <w:rsid w:val="00FA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AEDDF0-F1C6-0847-A980-C94AC930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B95"/>
    <w:pPr>
      <w:spacing w:after="0" w:line="240" w:lineRule="auto"/>
      <w:jc w:val="both"/>
    </w:pPr>
    <w:rPr>
      <w:rFonts w:ascii="Arial" w:hAnsi="Arial" w:cs="Cambria Math"/>
      <w:sz w:val="24"/>
      <w:szCs w:val="24"/>
      <w:lang w:eastAsia="en-US"/>
    </w:rPr>
  </w:style>
  <w:style w:type="paragraph" w:styleId="Heading1">
    <w:name w:val="heading 1"/>
    <w:basedOn w:val="Normal"/>
    <w:next w:val="Normal"/>
    <w:link w:val="Heading1Char"/>
    <w:uiPriority w:val="99"/>
    <w:qFormat/>
    <w:pPr>
      <w:keepNext/>
      <w:outlineLvl w:val="0"/>
    </w:pPr>
    <w:rPr>
      <w:sz w:val="40"/>
      <w:szCs w:val="4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ind w:left="600"/>
      <w:outlineLvl w:val="4"/>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Cambria Math"/>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Cambria Math"/>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Cambria Math"/>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Cambria Math"/>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Cambria Math"/>
      <w:b/>
      <w:bCs/>
      <w:i/>
      <w:iCs/>
      <w:sz w:val="26"/>
      <w:szCs w:val="26"/>
      <w:lang w:val="x-none" w:eastAsia="en-US"/>
    </w:rPr>
  </w:style>
  <w:style w:type="paragraph" w:styleId="Header">
    <w:name w:val="header"/>
    <w:basedOn w:val="Normal"/>
    <w:link w:val="HeaderChar"/>
    <w:uiPriority w:val="99"/>
    <w:pPr>
      <w:tabs>
        <w:tab w:val="center" w:pos="4440"/>
        <w:tab w:val="right" w:pos="9000"/>
      </w:tabs>
    </w:pPr>
  </w:style>
  <w:style w:type="character" w:customStyle="1" w:styleId="HeaderChar">
    <w:name w:val="Header Char"/>
    <w:basedOn w:val="DefaultParagraphFont"/>
    <w:link w:val="Header"/>
    <w:uiPriority w:val="99"/>
    <w:semiHidden/>
    <w:locked/>
    <w:rPr>
      <w:rFonts w:cs="Cambria Math"/>
      <w:sz w:val="24"/>
      <w:szCs w:val="24"/>
      <w:lang w:val="x-none" w:eastAsia="en-US"/>
    </w:rPr>
  </w:style>
  <w:style w:type="paragraph" w:styleId="Footer">
    <w:name w:val="footer"/>
    <w:basedOn w:val="Normal"/>
    <w:link w:val="FooterChar"/>
    <w:uiPriority w:val="99"/>
    <w:pPr>
      <w:tabs>
        <w:tab w:val="center" w:pos="4440"/>
        <w:tab w:val="right" w:pos="9000"/>
      </w:tabs>
    </w:pPr>
  </w:style>
  <w:style w:type="character" w:customStyle="1" w:styleId="FooterChar">
    <w:name w:val="Footer Char"/>
    <w:basedOn w:val="DefaultParagraphFont"/>
    <w:link w:val="Footer"/>
    <w:uiPriority w:val="99"/>
    <w:semiHidden/>
    <w:locked/>
    <w:rPr>
      <w:rFonts w:cs="Cambria Math"/>
      <w:sz w:val="24"/>
      <w:szCs w:val="24"/>
      <w:lang w:val="x-none"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Cambria Math"/>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Caption">
    <w:name w:val="caption"/>
    <w:basedOn w:val="Normal"/>
    <w:next w:val="Normal"/>
    <w:uiPriority w:val="99"/>
    <w:qFormat/>
    <w:rPr>
      <w:rFonts w:ascii="Times New Roman" w:hAnsi="Times New Roman" w:cs="Times New Roman"/>
      <w:b/>
      <w:bC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rPr>
      <w:rFonts w:ascii="Times New Roman" w:hAnsi="Times New Roman" w:cs="Times New Roman"/>
      <w:i/>
      <w:iCs/>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table" w:styleId="TableGrid">
    <w:name w:val="Table Grid"/>
    <w:basedOn w:val="TableNormal"/>
    <w:uiPriority w:val="99"/>
    <w:pPr>
      <w:overflowPunct w:val="0"/>
      <w:autoSpaceDE w:val="0"/>
      <w:autoSpaceDN w:val="0"/>
      <w:adjustRightInd w:val="0"/>
      <w:spacing w:after="0" w:line="240" w:lineRule="auto"/>
      <w:textAlignment w:val="baseline"/>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D48"/>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6446</Characters>
  <Application>Microsoft Office Word</Application>
  <DocSecurity>0</DocSecurity>
  <Lines>53</Lines>
  <Paragraphs>15</Paragraphs>
  <ScaleCrop>false</ScaleCrop>
  <Company>TAN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ATTACHED UNDER SECTION 22 OF THE GOODS VEHICLES (LICENSING OF OPERATORS) ACT 1995 – STANDARD NATIONAL LICENCES</dc:title>
  <dc:subject/>
  <dc:creator>l</dc:creator>
  <cp:keywords/>
  <dc:description/>
  <cp:lastModifiedBy>craig goult</cp:lastModifiedBy>
  <cp:revision>2</cp:revision>
  <cp:lastPrinted>2000-11-06T13:14:00Z</cp:lastPrinted>
  <dcterms:created xsi:type="dcterms:W3CDTF">2018-12-14T14:18:00Z</dcterms:created>
  <dcterms:modified xsi:type="dcterms:W3CDTF">2018-12-14T14:18:00Z</dcterms:modified>
</cp:coreProperties>
</file>